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Arial" w:cs="Arial" w:eastAsia="Arial" w:hAnsi="Arial"/>
        </w:rPr>
      </w:pPr>
      <w:r w:rsidDel="00000000" w:rsidR="00000000" w:rsidRPr="00000000">
        <w:rPr>
          <w:rFonts w:ascii="Arial" w:cs="Arial" w:eastAsia="Arial" w:hAnsi="Arial"/>
          <w:rtl w:val="0"/>
        </w:rPr>
        <w:t xml:space="preserve">Para promover la estabilización emocional en las personas víctimas de violencia, es necesario proporcionar primeros auxilios psicológicos </w:t>
      </w:r>
      <w:r w:rsidDel="00000000" w:rsidR="00000000" w:rsidRPr="00000000">
        <w:rPr>
          <w:rFonts w:ascii="Arial" w:cs="Arial" w:eastAsia="Arial" w:hAnsi="Arial"/>
          <w:highlight w:val="yellow"/>
          <w:rtl w:val="0"/>
        </w:rPr>
        <w:t xml:space="preserve">y la construcción de un espacio seguro</w:t>
      </w:r>
      <w:r w:rsidDel="00000000" w:rsidR="00000000" w:rsidRPr="00000000">
        <w:rPr>
          <w:rFonts w:ascii="Arial" w:cs="Arial" w:eastAsia="Arial" w:hAnsi="Arial"/>
          <w:rtl w:val="0"/>
        </w:rPr>
        <w:t xml:space="preserve"> como respuesta de acompañamiento psicosocial a la crisis presentada. Se requiere un acompañamiento inicial, donde se identifique además de las afectaciones físicas, los daños psicosociales </w:t>
      </w:r>
      <w:r w:rsidDel="00000000" w:rsidR="00000000" w:rsidRPr="00000000">
        <w:rPr>
          <w:rFonts w:ascii="Arial" w:cs="Arial" w:eastAsia="Arial" w:hAnsi="Arial"/>
          <w:highlight w:val="yellow"/>
          <w:rtl w:val="0"/>
        </w:rPr>
        <w:t xml:space="preserve">y de ser posible, las primeras medidas para atenuar las afectaciones registradas.</w:t>
      </w:r>
      <w:r w:rsidDel="00000000" w:rsidR="00000000" w:rsidRPr="00000000">
        <w:rPr>
          <w:rFonts w:ascii="Arial" w:cs="Arial" w:eastAsia="Arial" w:hAnsi="Arial"/>
          <w:rtl w:val="0"/>
        </w:rPr>
        <w:t xml:space="preserve"> </w:t>
      </w:r>
    </w:p>
    <w:p w:rsidR="00000000" w:rsidDel="00000000" w:rsidP="00000000" w:rsidRDefault="00000000" w:rsidRPr="00000000" w14:paraId="00000002">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3">
      <w:pPr>
        <w:spacing w:line="360" w:lineRule="auto"/>
        <w:jc w:val="both"/>
        <w:rPr>
          <w:rFonts w:ascii="Arial" w:cs="Arial" w:eastAsia="Arial" w:hAnsi="Arial"/>
        </w:rPr>
      </w:pPr>
      <w:r w:rsidDel="00000000" w:rsidR="00000000" w:rsidRPr="00000000">
        <w:rPr>
          <w:rFonts w:ascii="Arial" w:cs="Arial" w:eastAsia="Arial" w:hAnsi="Arial"/>
          <w:rtl w:val="0"/>
        </w:rPr>
        <w:t xml:space="preserve">Para garantizar esto, desde el primer momento del contacto, se debe generar un espacio empático, de confianza y confidencialidad, a partir de acercamientos respetuosos, reconociendo la dignidad y autonomía de la(s) persona(s), encaminada través del diálogo libre y la escucha activa, como acciones claves para posibilitar en la(s) persona(s) la expresión de sentimientos, necesidades, emociones y afectaciones por la vivencia de la violencia.</w:t>
      </w:r>
    </w:p>
    <w:p w:rsidR="00000000" w:rsidDel="00000000" w:rsidP="00000000" w:rsidRDefault="00000000" w:rsidRPr="00000000" w14:paraId="00000004">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5">
      <w:pPr>
        <w:spacing w:line="360" w:lineRule="auto"/>
        <w:jc w:val="both"/>
        <w:rPr>
          <w:rFonts w:ascii="Arial" w:cs="Arial" w:eastAsia="Arial" w:hAnsi="Arial"/>
        </w:rPr>
      </w:pPr>
      <w:r w:rsidDel="00000000" w:rsidR="00000000" w:rsidRPr="00000000">
        <w:rPr>
          <w:rFonts w:ascii="Arial" w:cs="Arial" w:eastAsia="Arial" w:hAnsi="Arial"/>
          <w:highlight w:val="yellow"/>
          <w:rtl w:val="0"/>
        </w:rPr>
        <w:t xml:space="preserve">La configuración de este tipo de espacios es conocida en la literatura psicosocial, como, la creación de un </w:t>
      </w:r>
      <w:r w:rsidDel="00000000" w:rsidR="00000000" w:rsidRPr="00000000">
        <w:rPr>
          <w:rFonts w:ascii="Arial" w:cs="Arial" w:eastAsia="Arial" w:hAnsi="Arial"/>
          <w:b w:val="1"/>
          <w:i w:val="1"/>
          <w:highlight w:val="yellow"/>
          <w:rtl w:val="0"/>
        </w:rPr>
        <w:t xml:space="preserve">Espacio Seguro</w:t>
      </w:r>
      <w:r w:rsidDel="00000000" w:rsidR="00000000" w:rsidRPr="00000000">
        <w:rPr>
          <w:rFonts w:ascii="Arial" w:cs="Arial" w:eastAsia="Arial" w:hAnsi="Arial"/>
          <w:highlight w:val="yellow"/>
          <w:rtl w:val="0"/>
        </w:rPr>
        <w:t xml:space="preserve">. En este caso las y los profesionales de los equipos interdisciplinarios de las Comisarias de Familia son quienes se encargan de garantizar que la estabilización emocional se brinde en este tipo de espacio, de forma tal que esté libre de juicios y posturas personales, teniendo en cuenta los principios de </w:t>
      </w:r>
      <w:r w:rsidDel="00000000" w:rsidR="00000000" w:rsidRPr="00000000">
        <w:rPr>
          <w:rFonts w:ascii="Arial" w:cs="Arial" w:eastAsia="Arial" w:hAnsi="Arial"/>
          <w:b w:val="1"/>
          <w:highlight w:val="yellow"/>
          <w:rtl w:val="0"/>
        </w:rPr>
        <w:t xml:space="preserve">ética de la función pública y la Acción Sin Daño</w:t>
      </w:r>
      <w:r w:rsidDel="00000000" w:rsidR="00000000" w:rsidRPr="00000000">
        <w:rPr>
          <w:rFonts w:ascii="Arial" w:cs="Arial" w:eastAsia="Arial" w:hAnsi="Arial"/>
          <w:highlight w:val="yellow"/>
          <w:rtl w:val="0"/>
        </w:rPr>
        <w:t xml:space="preserve"> desarrollados en el Tomo III:</w:t>
      </w: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yellow"/>
          <w:rtl w:val="0"/>
        </w:rPr>
        <w:t xml:space="preserve">Lineamientos técnicos para el abordaje comisarial de las violencias en el contexto</w:t>
      </w:r>
      <w:r w:rsidDel="00000000" w:rsidR="00000000" w:rsidRPr="00000000">
        <w:rPr>
          <w:rFonts w:ascii="Arial" w:cs="Arial" w:eastAsia="Arial" w:hAnsi="Arial"/>
          <w:b w:val="1"/>
          <w:highlight w:val="yellow"/>
          <w:rtl w:val="0"/>
        </w:rPr>
        <w:t xml:space="preserve"> </w:t>
      </w:r>
      <w:r w:rsidDel="00000000" w:rsidR="00000000" w:rsidRPr="00000000">
        <w:rPr>
          <w:rFonts w:ascii="Arial" w:cs="Arial" w:eastAsia="Arial" w:hAnsi="Arial"/>
          <w:highlight w:val="yellow"/>
          <w:rtl w:val="0"/>
        </w:rPr>
        <w:t xml:space="preserve">familiar colombiano</w:t>
      </w:r>
      <w:r w:rsidDel="00000000" w:rsidR="00000000" w:rsidRPr="00000000">
        <w:rPr>
          <w:rFonts w:ascii="Arial" w:cs="Arial" w:eastAsia="Arial" w:hAnsi="Arial"/>
          <w:rtl w:val="0"/>
        </w:rPr>
        <w:t xml:space="preserve">. </w:t>
      </w:r>
    </w:p>
    <w:p w:rsidR="00000000" w:rsidDel="00000000" w:rsidP="00000000" w:rsidRDefault="00000000" w:rsidRPr="00000000" w14:paraId="00000006">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7">
      <w:pPr>
        <w:spacing w:line="360" w:lineRule="auto"/>
        <w:jc w:val="both"/>
        <w:rPr>
          <w:rFonts w:ascii="Arial" w:cs="Arial" w:eastAsia="Arial" w:hAnsi="Arial"/>
        </w:rPr>
      </w:pPr>
      <w:r w:rsidDel="00000000" w:rsidR="00000000" w:rsidRPr="00000000">
        <w:rPr>
          <w:rFonts w:ascii="Arial" w:cs="Arial" w:eastAsia="Arial" w:hAnsi="Arial"/>
          <w:highlight w:val="yellow"/>
          <w:rtl w:val="0"/>
        </w:rPr>
        <w:t xml:space="preserve">El propósito de este tipo de espacio es que cada persona pueda compartir de forma tranquila sus experiencias sin</w:t>
      </w:r>
      <w:r w:rsidDel="00000000" w:rsidR="00000000" w:rsidRPr="00000000">
        <w:rPr>
          <w:rFonts w:ascii="Arial" w:cs="Arial" w:eastAsia="Arial" w:hAnsi="Arial"/>
          <w:color w:val="000000"/>
          <w:highlight w:val="yellow"/>
          <w:rtl w:val="0"/>
        </w:rPr>
        <w:t xml:space="preserve"> importar su condición social, bagaje cultural, orientación sexual o creencia religiosa, de forma tal que se avance en la identificación de las posibles afectaciones y en la activación inicial de estrategias de afrontamiento.</w:t>
      </w:r>
      <w:r w:rsidDel="00000000" w:rsidR="00000000" w:rsidRPr="00000000">
        <w:rPr>
          <w:rFonts w:ascii="Arial" w:cs="Arial" w:eastAsia="Arial" w:hAnsi="Arial"/>
          <w:color w:val="000000"/>
          <w:highlight w:val="white"/>
          <w:rtl w:val="0"/>
        </w:rPr>
        <w:t xml:space="preserve"> </w:t>
      </w:r>
      <w:r w:rsidDel="00000000" w:rsidR="00000000" w:rsidRPr="00000000">
        <w:rPr>
          <w:rFonts w:ascii="Arial" w:cs="Arial" w:eastAsia="Arial" w:hAnsi="Arial"/>
          <w:color w:val="000000"/>
          <w:highlight w:val="yellow"/>
          <w:rtl w:val="0"/>
        </w:rPr>
        <w:t xml:space="preserve">Los y las profesionales deben guardar el cuidado correspondiente para no indagar o profundizar en temas que no serán abordados de forma suficiente o que requieren un proceso de más largo aliento, de igual forma su retroalimentación sobre lo conversado debe ser siempre positiva buscando el mejorar el estado emocional de quienes consultan.</w:t>
      </w:r>
      <w:r w:rsidDel="00000000" w:rsidR="00000000" w:rsidRPr="00000000">
        <w:rPr>
          <w:rtl w:val="0"/>
        </w:rPr>
      </w:r>
    </w:p>
    <w:p w:rsidR="00000000" w:rsidDel="00000000" w:rsidP="00000000" w:rsidRDefault="00000000" w:rsidRPr="00000000" w14:paraId="00000008">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9">
      <w:pPr>
        <w:spacing w:line="360" w:lineRule="auto"/>
        <w:jc w:val="both"/>
        <w:rPr>
          <w:rFonts w:ascii="Arial" w:cs="Arial" w:eastAsia="Arial" w:hAnsi="Arial"/>
        </w:rPr>
      </w:pPr>
      <w:r w:rsidDel="00000000" w:rsidR="00000000" w:rsidRPr="00000000">
        <w:rPr>
          <w:rFonts w:ascii="Arial" w:cs="Arial" w:eastAsia="Arial" w:hAnsi="Arial"/>
          <w:rtl w:val="0"/>
        </w:rPr>
        <w:t xml:space="preserve">Este acompañamiento inicial busca promover el inicio de la resignificación de los hechos vividos en torno al escenario maltratante por parte de la persona en crisis, donde la persona visualice su situación, verbalice y escuche sobre lo sucedido y manifieste sus reacciones ante el acontecimiento, involucrando diferentes tipos de sentimientos, entre los que se podrían encontrar sentimientos de victimización, culpa, angustia, sufrimiento, así como naturalización de conductas asociadas a las violencias de las que ha sido víctima, entre otros.</w:t>
      </w:r>
    </w:p>
    <w:p w:rsidR="00000000" w:rsidDel="00000000" w:rsidP="00000000" w:rsidRDefault="00000000" w:rsidRPr="00000000" w14:paraId="0000000A">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B">
      <w:pPr>
        <w:spacing w:line="360" w:lineRule="auto"/>
        <w:jc w:val="both"/>
        <w:rPr>
          <w:rFonts w:ascii="Arial" w:cs="Arial" w:eastAsia="Arial" w:hAnsi="Arial"/>
        </w:rPr>
      </w:pPr>
      <w:r w:rsidDel="00000000" w:rsidR="00000000" w:rsidRPr="00000000">
        <w:rPr>
          <w:rFonts w:ascii="Arial" w:cs="Arial" w:eastAsia="Arial" w:hAnsi="Arial"/>
          <w:rtl w:val="0"/>
        </w:rPr>
        <w:t xml:space="preserve">Este espacio debe estar acompañado de los siguientes elementos:</w:t>
      </w:r>
    </w:p>
    <w:p w:rsidR="00000000" w:rsidDel="00000000" w:rsidP="00000000" w:rsidRDefault="00000000" w:rsidRPr="00000000" w14:paraId="0000000C">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Escucha empática</w:t>
      </w:r>
    </w:p>
    <w:p w:rsidR="00000000" w:rsidDel="00000000" w:rsidP="00000000" w:rsidRDefault="00000000" w:rsidRPr="00000000" w14:paraId="0000000E">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spacing w:line="360" w:lineRule="auto"/>
        <w:jc w:val="both"/>
        <w:rPr>
          <w:rFonts w:ascii="Arial" w:cs="Arial" w:eastAsia="Arial" w:hAnsi="Arial"/>
        </w:rPr>
      </w:pPr>
      <w:r w:rsidDel="00000000" w:rsidR="00000000" w:rsidRPr="00000000">
        <w:rPr>
          <w:rFonts w:ascii="Arial" w:cs="Arial" w:eastAsia="Arial" w:hAnsi="Arial"/>
          <w:rtl w:val="0"/>
        </w:rPr>
        <w:t xml:space="preserve">La escucha empática se manifiesta por medio del tono de voz que se usa en la conversación con la persona, la postura usada, el nivel de atención, la mirada y todos aquellos elementos que le muestren a la persona que es escuchada y que su relato es de importancia para quien la escucha.</w:t>
      </w:r>
    </w:p>
    <w:p w:rsidR="00000000" w:rsidDel="00000000" w:rsidP="00000000" w:rsidRDefault="00000000" w:rsidRPr="00000000" w14:paraId="00000010">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Evitar las preguntas</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360" w:lineRule="auto"/>
        <w:ind w:left="360"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3">
      <w:pPr>
        <w:spacing w:line="360" w:lineRule="auto"/>
        <w:jc w:val="both"/>
        <w:rPr>
          <w:rFonts w:ascii="Arial" w:cs="Arial" w:eastAsia="Arial" w:hAnsi="Arial"/>
        </w:rPr>
      </w:pPr>
      <w:r w:rsidDel="00000000" w:rsidR="00000000" w:rsidRPr="00000000">
        <w:rPr>
          <w:rFonts w:ascii="Arial" w:cs="Arial" w:eastAsia="Arial" w:hAnsi="Arial"/>
          <w:rtl w:val="0"/>
        </w:rPr>
        <w:t xml:space="preserve">Es importante evitar preguntar hasta que la persona sienta que quién está al frente es una persona que la valida. “Es muy importante no cuestionar. No entrar en interrogantes como “por qué no lo hizo antes”, “por qué no se alejó”. Estos por qué muchas veces suenan como cuestionamientos, cuando quizás solo buscan tener una noción general de qué es lo que pasó. </w:t>
      </w:r>
      <w:r w:rsidDel="00000000" w:rsidR="00000000" w:rsidRPr="00000000">
        <w:rPr>
          <w:rFonts w:ascii="Arial" w:cs="Arial" w:eastAsia="Arial" w:hAnsi="Arial"/>
          <w:highlight w:val="yellow"/>
          <w:rtl w:val="0"/>
        </w:rPr>
        <w:t xml:space="preserve">Si se realizan preguntas estas deben contribuir a ampliar y a hacer más sistémica la comprensión del caso, no a verificar la veracidad o falsedad del relato.</w:t>
      </w:r>
      <w:r w:rsidDel="00000000" w:rsidR="00000000" w:rsidRPr="00000000">
        <w:rPr>
          <w:rFonts w:ascii="Arial" w:cs="Arial" w:eastAsia="Arial" w:hAnsi="Arial"/>
          <w:rtl w:val="0"/>
        </w:rPr>
        <w:t xml:space="preserve"> </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Respetar los silencios</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360" w:lineRule="auto"/>
        <w:ind w:left="360"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spacing w:line="360" w:lineRule="auto"/>
        <w:jc w:val="both"/>
        <w:rPr>
          <w:rFonts w:ascii="Arial" w:cs="Arial" w:eastAsia="Arial" w:hAnsi="Arial"/>
        </w:rPr>
      </w:pPr>
      <w:r w:rsidDel="00000000" w:rsidR="00000000" w:rsidRPr="00000000">
        <w:rPr>
          <w:rFonts w:ascii="Arial" w:cs="Arial" w:eastAsia="Arial" w:hAnsi="Arial"/>
          <w:rtl w:val="0"/>
        </w:rPr>
        <w:t xml:space="preserve">Es muy importante respetar las pausas y los silencios, incluso preguntar en el momento en el que se considere necesario si la persona necesita parar, salir del espacio, ir al baño, tomar algo. </w:t>
      </w:r>
    </w:p>
    <w:p w:rsidR="00000000" w:rsidDel="00000000" w:rsidP="00000000" w:rsidRDefault="00000000" w:rsidRPr="00000000" w14:paraId="00000017">
      <w:pPr>
        <w:spacing w:line="360" w:lineRule="auto"/>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No presionar</w:t>
      </w:r>
    </w:p>
    <w:p w:rsidR="00000000" w:rsidDel="00000000" w:rsidP="00000000" w:rsidRDefault="00000000" w:rsidRPr="00000000" w14:paraId="00000019">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A">
      <w:pPr>
        <w:spacing w:line="360" w:lineRule="auto"/>
        <w:jc w:val="both"/>
        <w:rPr>
          <w:rFonts w:ascii="Arial" w:cs="Arial" w:eastAsia="Arial" w:hAnsi="Arial"/>
        </w:rPr>
      </w:pPr>
      <w:r w:rsidDel="00000000" w:rsidR="00000000" w:rsidRPr="00000000">
        <w:rPr>
          <w:rFonts w:ascii="Arial" w:cs="Arial" w:eastAsia="Arial" w:hAnsi="Arial"/>
          <w:rtl w:val="0"/>
        </w:rPr>
        <w:t xml:space="preserve">Es de vital importancia respetar los tiempos y las decisiones que la persona toma, a pesar de que jurídicamente no sea lo más viable o según el criterio del profesional la persona debería tomar decisiones distintas. Es necesario no perder de vista que las personas son sujetas de derechos y se debe respetar su autonomía. El proceso de la persona es individual y subjetivo. </w:t>
      </w:r>
    </w:p>
    <w:p w:rsidR="00000000" w:rsidDel="00000000" w:rsidP="00000000" w:rsidRDefault="00000000" w:rsidRPr="00000000" w14:paraId="0000001B">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Identificar recursos de afrontamiento y Redes de Apoyo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highlight w:val="yellow"/>
          <w:rtl w:val="0"/>
        </w:rPr>
        <w:t xml:space="preserve">Es importante identificar con la persona que recursos personales y emocionales le han permitido afrontar los hechos relatados, y de cuáles puede valerse para modificar su situación. De igual forma, es fundamental que visualice y reactive las redes de apoyo</w:t>
      </w:r>
      <w:r w:rsidDel="00000000" w:rsidR="00000000" w:rsidRPr="00000000">
        <w:rPr>
          <w:rFonts w:ascii="Arial" w:cs="Arial" w:eastAsia="Arial" w:hAnsi="Arial"/>
          <w:color w:val="000000"/>
          <w:rtl w:val="0"/>
        </w:rPr>
        <w:t xml:space="preserve"> con las que cuenta (familiares, sociales – ONGs, juntas de acción comunal, líderes sociales, entre otros- laborales e instituciones) esto ayuda a que la persona identifique a quién puede acudir, quién le puede acompañar en estos procesos y esto ayuda a calmar las emociones de ansiedad y angustia que se producen. </w:t>
      </w:r>
    </w:p>
    <w:p w:rsidR="00000000" w:rsidDel="00000000" w:rsidP="00000000" w:rsidRDefault="00000000" w:rsidRPr="00000000" w14:paraId="0000001E">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pacing w:line="360" w:lineRule="auto"/>
        <w:jc w:val="both"/>
        <w:rPr>
          <w:rFonts w:ascii="Arial" w:cs="Arial" w:eastAsia="Arial" w:hAnsi="Arial"/>
          <w:b w:val="1"/>
        </w:rPr>
      </w:pPr>
      <w:r w:rsidDel="00000000" w:rsidR="00000000" w:rsidRPr="00000000">
        <w:rPr>
          <w:rFonts w:ascii="Arial" w:cs="Arial" w:eastAsia="Arial" w:hAnsi="Arial"/>
          <w:b w:val="1"/>
          <w:rtl w:val="0"/>
        </w:rPr>
        <w:t xml:space="preserve">TIPS ADICIONALES </w:t>
      </w:r>
    </w:p>
    <w:p w:rsidR="00000000" w:rsidDel="00000000" w:rsidP="00000000" w:rsidRDefault="00000000" w:rsidRPr="00000000" w14:paraId="00000020">
      <w:pPr>
        <w:spacing w:line="360" w:lineRule="auto"/>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En muchas ocasiones, aunque la persona ha decidido activar la ruta, le da temor el proceso legal, o no han tomado la decisión de terminar la relación de pareja o los ciclos de violencias, sienten que son culpables de las violencias o incluso no han identificado los niveles de riesgo en los que se encuentran. Por esto es importante no presionar la toma de decisiones, pero además explicarles de manera clara y tranquila de qué se trata el proceso, cuál es el paso a paso, que pasa en cada uno de estos, que documentos necesita, que documentos le dan y para qué sirven, a dónde debe llevarlos, y demás aspectos relevantes del proceso; esto puede ayudar a bajar los niveles de ansiedad de la persona y a tomar decisiones que le ayuden a salir de los ciclos de violencias. </w:t>
      </w:r>
    </w:p>
    <w:p w:rsidR="00000000" w:rsidDel="00000000" w:rsidP="00000000" w:rsidRDefault="00000000" w:rsidRPr="00000000" w14:paraId="00000022">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En el momento en que lo crea conveniente y sienta a la persona receptiva puede explicarle los diferentes tipos de violencias y hacer énfasis que son estos, unas violencias, por lo que ha sido víctima de situaciones que vulneran sus derechos y la ponen en peligro. Esto quiere decir que la persona no es culpable de nada, el único culpable es quien ha decidido agredir. </w:t>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line="360"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Sus emociones son reacciones naturales ante hechos que no lo son, por esta razón el llanto, la rabia, la frustración son bienvenidas y es importante acompañarlas para ir bajando su intensidad a medida que la persona lo sienta.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Estabilización emocional en niños, niñas y adolescentes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siguientes recomendaciones están orientadas a promover un proceso de estabilización emocional integral que considere las particularidades y necesidades específicas de los/las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víctimas de violencia en el contexto familiar.</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Recomendaciones generales</w:t>
      </w:r>
    </w:p>
    <w:p w:rsidR="00000000" w:rsidDel="00000000" w:rsidP="00000000" w:rsidRDefault="00000000" w:rsidRPr="00000000" w14:paraId="00000029">
      <w:pPr>
        <w:spacing w:line="360" w:lineRule="auto"/>
        <w:ind w:left="36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2A">
      <w:pPr>
        <w:spacing w:line="360" w:lineRule="auto"/>
        <w:ind w:left="360" w:firstLine="0"/>
        <w:jc w:val="both"/>
        <w:rPr>
          <w:rFonts w:ascii="Arial" w:cs="Arial" w:eastAsia="Arial" w:hAnsi="Arial"/>
          <w:b w:val="1"/>
        </w:rPr>
      </w:pPr>
      <w:r w:rsidDel="00000000" w:rsidR="00000000" w:rsidRPr="00000000">
        <w:rPr>
          <w:rFonts w:ascii="Arial" w:cs="Arial" w:eastAsia="Arial" w:hAnsi="Arial"/>
          <w:rtl w:val="0"/>
        </w:rPr>
        <w:t xml:space="preserve">Se recomienda implementar estrategias de regulación emocional que ayuden a los niños, niñas y adolescentes a gestionar y calmar sus emociones, especialmente aquellas asociadas con el enojo, la tristeza y la ansiedad, que son comunes en esta etapa del desarrollo. Es fundamental aplicar técnicas de regulación de la atención que favorezcan el regreso a la calma en momentos de agitación emocional. Además, es importante trabajar con los pensamientos </w:t>
      </w:r>
      <w:sdt>
        <w:sdtPr>
          <w:tag w:val="goog_rdk_0"/>
        </w:sdtPr>
        <w:sdtContent>
          <w:commentRangeStart w:id="0"/>
        </w:sdtContent>
      </w:sdt>
      <w:r w:rsidDel="00000000" w:rsidR="00000000" w:rsidRPr="00000000">
        <w:rPr>
          <w:rFonts w:ascii="Arial" w:cs="Arial" w:eastAsia="Arial" w:hAnsi="Arial"/>
          <w:rtl w:val="0"/>
        </w:rPr>
        <w:t xml:space="preserve">disruptivos</w:t>
      </w:r>
      <w:commentRangeEnd w:id="0"/>
      <w:r w:rsidDel="00000000" w:rsidR="00000000" w:rsidRPr="00000000">
        <w:commentReference w:id="0"/>
      </w:r>
      <w:r w:rsidDel="00000000" w:rsidR="00000000" w:rsidRPr="00000000">
        <w:rPr>
          <w:rFonts w:ascii="Arial" w:cs="Arial" w:eastAsia="Arial" w:hAnsi="Arial"/>
          <w:rtl w:val="0"/>
        </w:rPr>
        <w:t xml:space="preserve"> que acompañan a estas emociones, para ayudarlos a identificar y modificar creencias y patrones de pensamiento negativos. Por último, se deben promover herramientas y estrategias que permitan transformar y regular las respuestas emocionales, favoreciendo así un mejor manejo emocional ante situaciones desafiantes y contribuyendo al bienestar psicológico de los y las niñas, niños y adolescentes.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de un entorno seguro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fundamental crear un ambiente que brinde a los/</w:t>
      </w:r>
      <w:r w:rsidDel="00000000" w:rsidR="00000000" w:rsidRPr="00000000">
        <w:rPr>
          <w:rFonts w:ascii="Arial" w:cs="Arial" w:eastAsia="Arial" w:hAnsi="Arial"/>
          <w:rtl w:val="0"/>
        </w:rPr>
        <w:t xml:space="preserve">las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niños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niñas y adolescentes seguridad, estabilidad y protección. La construcción de un entorno estructurado contribuye significativamente a que se sientan respaldados y cuidados por adultos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responsables y de confianza.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Validación y expresión de emociones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esencial validar las emociones de las niñas, niños y adolescentes sin juicio alguno. Permitirles expresar libremente sus sentimientos de miedo, tristeza, rabia o confusión facilita el proceso de sanación. Frases como "Está bien sentirse triste" o "Es normal estar enojado después de lo que ocurrió" les ayudan a sentirse escuchados y comprendidos. Este proceso de validación es clave para fomentar una comunicación abierta y sincera sobre sus experiencias.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 papel del juego como herramienta de expresión emocional</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juego es una herramienta fundamental en el acompañamiento emocional, ya que permite a los menores exteriorizar sus sentimientos de manera simbólica, especialmente en los casos en que les resulta difícil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verbalizarlos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Actividades como juegos de roles o la creación de dibujos pueden ofrecer un espacio seguro para la expresión emocional y el manejo de situaciones de violencia en el contexto familiar</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Fomento de la expresión verbal adaptada a la edad</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fundamental adaptar las estrategias de comunicación a la edad y el desarrollo de cada menor. Para los/las más pequeños/pequeñas, es recomendable hacer preguntas simples que les permitan identificar y explorar sus emociones, como "¿Cómo te sientes?" o "¿Qué te hace sentir triste?". En el caso de los/las adolescentes, pueden ser útiles preguntas abiertas que promuevan la reflexión y el diálogo, como "¿Qué te gustaría que fuera diferente respecto a lo que sucedió?".</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Fomento de la autonomía y toma de decisiones</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medida que los menores comienzan a sentirse más seguros, es importante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involucrarlos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decisiones cotidianas que les permitan recuperar un sentido de control sobre su vida. La promoción de la autonomía contribuye a reducir la sensación de impotencia que a menudo acompaña al trauma, favoreciendo un proceso de empoderamiento y reconstrucción emocional.</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Refuerzo de la seguridad física y emocional</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esencial asegurar a los menores de que se encuentran en un entorno donde están protegidos y en el que nadie los lastimará. Además, deben ser incluidos en decisiones relacionadas con su bienestar, lo cual refuerza su sentido de seguridad y confianza.</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Redes de apoyo sociales y vinculares</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redes de apoyo juegan un rol crucial en el proceso de recuperación. Es recomendable involucrar a la familia extensa, cuidadores, docentes 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amigas/amigos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cercanos para brindar un acompañamiento constante. La capacitación de adultos en el manejo adecuado de la emocionalidad de los menores, el respeto por su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comprensión de la historia, la confidencialidad y el garantizar la construcción de espacios seguros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esencial para evitar la revictimización y asegurar un acompañamiento adecuado.</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36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Reafirmación de la dignidad y autoestima</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Reafirmar la dignidad y autoestima del niño, niña o adolescente es un componente crucial en su proceso de sanación. Es fundamental recordarles de manera constante que no son responsables de la violencia sufrida, promoviendo el autocuidado y respeto hacia sí mismos.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concluir, es de resaltar la importancia de todos los actores involucrados en el acompañamiento de niños, niñas y adolescentes víctimas de violencia en el contexto familiar, insistiendo en generar acciones e intervenciones guiadas por la sensibilidad, el respeto y el compromiso para facilitar su recuperación emocional y garantizar su bienestar integral.</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ampliar la información se sugiere consultar:</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Slaikeu, K. (1994). Intervención en crisis. </w:t>
      </w:r>
      <w:r w:rsidDel="00000000" w:rsidR="00000000" w:rsidRPr="00000000">
        <w:rPr>
          <w:rFonts w:ascii="Arial" w:cs="Arial" w:eastAsia="Arial" w:hAnsi="Arial"/>
          <w:rtl w:val="0"/>
        </w:rPr>
        <w:t xml:space="preserve">México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Editorial el Manual Moderno. Chadi,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 (2000). Redes Sociales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trabajo social. Buenos Aires: Espacio.Amalia Osorio Vigil,  PRIMEROS AUXILIOS PSICOLÓGICOS. Integración Académica en Psicología. Volumen 5. Número 15. 2017. ISSN: 2007-5588</w:t>
      </w:r>
    </w:p>
    <w:sectPr>
      <w:headerReference r:id="rId9" w:type="default"/>
      <w:footerReference r:id="rId10" w:type="default"/>
      <w:pgSz w:h="15840" w:w="12240"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12:01:00Z">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disruptivos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4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b w:val="1"/>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b w:val="1"/>
        <w:color w:val="000000"/>
        <w:sz w:val="16"/>
        <w:szCs w:val="16"/>
      </w:rPr>
      <w:fldChar w:fldCharType="begin"/>
      <w:instrText xml:space="preserve">NUMPAGES</w:instrText>
      <w:fldChar w:fldCharType="separate"/>
      <w:fldChar w:fldCharType="end"/>
    </w:r>
    <w:r w:rsidDel="00000000" w:rsidR="00000000" w:rsidRPr="00000000">
      <w:rPr>
        <w:color w:val="000000"/>
        <w:sz w:val="16"/>
        <w:szCs w:val="16"/>
        <w:rtl w:val="0"/>
      </w:rPr>
      <w:t xml:space="preserve"> </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42">
          <w:pPr>
            <w:jc w:val="center"/>
            <w:rPr/>
          </w:pPr>
          <w:r w:rsidDel="00000000" w:rsidR="00000000" w:rsidRPr="00000000">
            <w:rPr/>
            <w:drawing>
              <wp:inline distB="0" distT="0" distL="0" distR="0">
                <wp:extent cx="1476375" cy="571500"/>
                <wp:effectExtent b="0" l="0" r="0" t="0"/>
                <wp:docPr id="50001444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6375" cy="5715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GUÍA</w:t>
          </w:r>
          <w:r w:rsidDel="00000000" w:rsidR="00000000" w:rsidRPr="00000000">
            <w:rPr>
              <w:rtl w:val="0"/>
            </w:rPr>
          </w:r>
        </w:p>
      </w:tc>
      <w:tc>
        <w:tcPr>
          <w:vMerge w:val="restart"/>
          <w:vAlign w:val="center"/>
        </w:tcPr>
        <w:p w:rsidR="00000000" w:rsidDel="00000000" w:rsidP="00000000" w:rsidRDefault="00000000" w:rsidRPr="00000000" w14:paraId="0000004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01</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46">
          <w:pPr>
            <w:spacing w:line="360" w:lineRule="auto"/>
            <w:jc w:val="center"/>
            <w:rPr>
              <w:rFonts w:ascii="Arial" w:cs="Arial" w:eastAsia="Arial" w:hAnsi="Arial"/>
            </w:rPr>
          </w:pPr>
          <w:r w:rsidDel="00000000" w:rsidR="00000000" w:rsidRPr="00000000">
            <w:rPr>
              <w:rFonts w:ascii="Arial" w:cs="Arial" w:eastAsia="Arial" w:hAnsi="Arial"/>
              <w:b w:val="1"/>
              <w:color w:val="404040"/>
              <w:rtl w:val="0"/>
            </w:rPr>
            <w:t xml:space="preserve">RECOMENDACIONES A TENER EN CUENTA PARA GENERAR UNA ESTABILIZACIÓN EMOCIONAL</w:t>
          </w:r>
          <w:r w:rsidDel="00000000" w:rsidR="00000000" w:rsidRPr="00000000">
            <w:rPr>
              <w:rtl w:val="0"/>
            </w:rPr>
          </w:r>
        </w:p>
      </w:tc>
      <w:tc>
        <w:tcPr>
          <w:vMerge w:val="continue"/>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 w:customStyle="1">
    <w:name w:val="Table Normal"/>
    <w:tblPr>
      <w:tblCellMar>
        <w:top w:w="0.0" w:type="dxa"/>
        <w:left w:w="0.0" w:type="dxa"/>
        <w:bottom w:w="0.0" w:type="dxa"/>
        <w:right w:w="0.0" w:type="dxa"/>
      </w:tblCellMar>
    </w:tblPr>
  </w:style>
  <w:style w:type="character" w:styleId="Hipervnculo">
    <w:name w:val="Hyperlink"/>
    <w:basedOn w:val="Fuentedeprrafopredeter"/>
    <w:uiPriority w:val="99"/>
    <w:semiHidden w:val="1"/>
    <w:unhideWhenUsed w:val="1"/>
    <w:rsid w:val="00D84ADD"/>
    <w:rPr>
      <w:color w:val="0000ff"/>
      <w:u w:val="single"/>
    </w:rPr>
  </w:style>
  <w:style w:type="paragraph" w:styleId="Sinespaciado">
    <w:name w:val="No Spacing"/>
    <w:uiPriority w:val="1"/>
    <w:qFormat w:val="1"/>
    <w:rsid w:val="00D84ADD"/>
  </w:style>
  <w:style w:type="paragraph" w:styleId="paragraph" w:customStyle="1">
    <w:name w:val="paragraph"/>
    <w:basedOn w:val="Normal"/>
    <w:rsid w:val="0092541C"/>
    <w:pPr>
      <w:spacing w:after="100" w:afterAutospacing="1" w:before="100" w:beforeAutospacing="1"/>
    </w:pPr>
    <w:rPr>
      <w:rFonts w:ascii="Times New Roman" w:cs="Times New Roman" w:eastAsia="Times New Roman" w:hAnsi="Times New Roman"/>
      <w:lang w:eastAsia="es-ES_tradnl" w:val="es-CO"/>
    </w:rPr>
  </w:style>
  <w:style w:type="paragraph" w:styleId="Prrafodelista">
    <w:name w:val="List Paragraph"/>
    <w:basedOn w:val="Normal"/>
    <w:uiPriority w:val="34"/>
    <w:qFormat w:val="1"/>
    <w:rsid w:val="00CB0ABD"/>
    <w:pPr>
      <w:ind w:left="720"/>
      <w:contextualSpacing w:val="1"/>
    </w:pPr>
  </w:style>
  <w:style w:type="paragraph" w:styleId="Encabezado">
    <w:name w:val="header"/>
    <w:basedOn w:val="Normal"/>
    <w:link w:val="EncabezadoCar"/>
    <w:uiPriority w:val="99"/>
    <w:unhideWhenUsed w:val="1"/>
    <w:rsid w:val="00E30340"/>
    <w:pPr>
      <w:tabs>
        <w:tab w:val="center" w:pos="4680"/>
        <w:tab w:val="right" w:pos="9360"/>
      </w:tabs>
    </w:pPr>
  </w:style>
  <w:style w:type="character" w:styleId="EncabezadoCar" w:customStyle="1">
    <w:name w:val="Encabezado Car"/>
    <w:basedOn w:val="Fuentedeprrafopredeter"/>
    <w:link w:val="Encabezado"/>
    <w:uiPriority w:val="99"/>
    <w:rsid w:val="00E30340"/>
    <w:rPr>
      <w:lang w:val="es-ES"/>
    </w:rPr>
  </w:style>
  <w:style w:type="paragraph" w:styleId="Piedepgina">
    <w:name w:val="footer"/>
    <w:basedOn w:val="Normal"/>
    <w:link w:val="PiedepginaCar"/>
    <w:uiPriority w:val="99"/>
    <w:unhideWhenUsed w:val="1"/>
    <w:rsid w:val="00E30340"/>
    <w:pPr>
      <w:tabs>
        <w:tab w:val="center" w:pos="4680"/>
        <w:tab w:val="right" w:pos="9360"/>
      </w:tabs>
    </w:pPr>
  </w:style>
  <w:style w:type="character" w:styleId="PiedepginaCar" w:customStyle="1">
    <w:name w:val="Pie de página Car"/>
    <w:basedOn w:val="Fuentedeprrafopredeter"/>
    <w:link w:val="Piedepgina"/>
    <w:uiPriority w:val="99"/>
    <w:rsid w:val="00E30340"/>
    <w:rPr>
      <w:lang w:val="es-ES"/>
    </w:rPr>
  </w:style>
  <w:style w:type="table" w:styleId="Tablaconcuadrcula">
    <w:name w:val="Table Grid"/>
    <w:basedOn w:val="Tablanormal"/>
    <w:uiPriority w:val="59"/>
    <w:rsid w:val="00E30340"/>
    <w:rPr>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sz w:val="22"/>
      <w:szCs w:val="22"/>
    </w:rPr>
    <w:tblPr>
      <w:tblStyleRowBandSize w:val="1"/>
      <w:tblStyleColBandSize w:val="1"/>
      <w:tblCellMar>
        <w:left w:w="108.0" w:type="dxa"/>
        <w:right w:w="108.0" w:type="dxa"/>
      </w:tblCellMar>
    </w:tblPr>
  </w:style>
  <w:style w:type="table" w:styleId="a0" w:customStyle="1">
    <w:basedOn w:val="TableNormal"/>
    <w:rPr>
      <w:sz w:val="22"/>
      <w:szCs w:val="22"/>
    </w:rPr>
    <w:tblPr>
      <w:tblStyleRowBandSize w:val="1"/>
      <w:tblStyleColBandSize w:val="1"/>
      <w:tblCellMar>
        <w:left w:w="108.0" w:type="dxa"/>
        <w:right w:w="108.0" w:type="dxa"/>
      </w:tblCellMar>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NormalWeb">
    <w:name w:val="Normal (Web)"/>
    <w:basedOn w:val="Normal"/>
    <w:uiPriority w:val="99"/>
    <w:unhideWhenUsed w:val="1"/>
    <w:rsid w:val="00A7471D"/>
    <w:pPr>
      <w:spacing w:after="100" w:afterAutospacing="1" w:before="100" w:beforeAutospacing="1"/>
    </w:pPr>
    <w:rPr>
      <w:rFonts w:ascii="Times New Roman" w:cs="Times New Roman" w:eastAsia="Times New Roman" w:hAnsi="Times New Roman"/>
      <w:lang w:eastAsia="es-CO" w:val="es-CO"/>
    </w:rPr>
  </w:style>
  <w:style w:type="character" w:styleId="Textoennegrita">
    <w:name w:val="Strong"/>
    <w:basedOn w:val="Fuentedeprrafopredeter"/>
    <w:uiPriority w:val="22"/>
    <w:qFormat w:val="1"/>
    <w:rsid w:val="00A7471D"/>
    <w:rPr>
      <w:b w:val="1"/>
      <w:bCs w:val="1"/>
    </w:rPr>
  </w:style>
  <w:style w:type="paragraph" w:styleId="Asuntodelcomentario">
    <w:name w:val="annotation subject"/>
    <w:basedOn w:val="Textocomentario"/>
    <w:next w:val="Textocomentario"/>
    <w:link w:val="AsuntodelcomentarioCar"/>
    <w:uiPriority w:val="99"/>
    <w:semiHidden w:val="1"/>
    <w:unhideWhenUsed w:val="1"/>
    <w:rsid w:val="00042C93"/>
    <w:rPr>
      <w:b w:val="1"/>
      <w:bCs w:val="1"/>
    </w:rPr>
  </w:style>
  <w:style w:type="character" w:styleId="AsuntodelcomentarioCar" w:customStyle="1">
    <w:name w:val="Asunto del comentario Car"/>
    <w:basedOn w:val="TextocomentarioCar"/>
    <w:link w:val="Asuntodelcomentario"/>
    <w:uiPriority w:val="99"/>
    <w:semiHidden w:val="1"/>
    <w:rsid w:val="00042C93"/>
    <w:rPr>
      <w:b w:val="1"/>
      <w:bCs w:val="1"/>
      <w:sz w:val="20"/>
      <w:szCs w:val="20"/>
    </w:rPr>
  </w:style>
  <w:style w:type="paragraph" w:styleId="Textodeglobo">
    <w:name w:val="Balloon Text"/>
    <w:basedOn w:val="Normal"/>
    <w:link w:val="TextodegloboCar"/>
    <w:uiPriority w:val="99"/>
    <w:semiHidden w:val="1"/>
    <w:unhideWhenUsed w:val="1"/>
    <w:rsid w:val="00042C93"/>
    <w:rPr>
      <w:rFonts w:ascii="Times New Roman" w:cs="Times New Roman" w:hAnsi="Times New Roman"/>
      <w:sz w:val="18"/>
      <w:szCs w:val="18"/>
    </w:rPr>
  </w:style>
  <w:style w:type="character" w:styleId="TextodegloboCar" w:customStyle="1">
    <w:name w:val="Texto de globo Car"/>
    <w:basedOn w:val="Fuentedeprrafopredeter"/>
    <w:link w:val="Textodeglobo"/>
    <w:uiPriority w:val="99"/>
    <w:semiHidden w:val="1"/>
    <w:rsid w:val="00042C93"/>
    <w:rPr>
      <w:rFonts w:ascii="Times New Roman" w:cs="Times New Roman" w:hAnsi="Times New Roman"/>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YwET6xlV4SVd92fm0J1gTZQzLg==">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2FB5F9C-4A61-4854-9FB4-2EE8BF5A7461}"/>
</file>

<file path=customXML/itemProps3.xml><?xml version="1.0" encoding="utf-8"?>
<ds:datastoreItem xmlns:ds="http://schemas.openxmlformats.org/officeDocument/2006/customXml" ds:itemID="{44CA7169-12F0-4745-AC12-32B4DE64CDF1}"/>
</file>

<file path=customXML/itemProps4.xml><?xml version="1.0" encoding="utf-8"?>
<ds:datastoreItem xmlns:ds="http://schemas.openxmlformats.org/officeDocument/2006/customXml" ds:itemID="{874D3F59-7471-471B-9696-DFEF49A9139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Muñoz Ferrer</dc:creator>
  <dcterms:created xsi:type="dcterms:W3CDTF">2024-12-01T16:16:00Z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